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11B" w:rsidRPr="00A96CBC" w:rsidRDefault="00E9311B" w:rsidP="00A96CBC">
      <w:pPr>
        <w:spacing w:after="0"/>
        <w:rPr>
          <w:rFonts w:eastAsia="Times New Roman" w:cstheme="minorHAnsi"/>
          <w:lang w:eastAsia="pl-PL"/>
        </w:rPr>
      </w:pPr>
    </w:p>
    <w:p w:rsidR="00D0166D" w:rsidRPr="00D0166D" w:rsidRDefault="009A67A4" w:rsidP="00D0166D">
      <w:pPr>
        <w:spacing w:after="0"/>
        <w:rPr>
          <w:rFonts w:cstheme="minorHAnsi"/>
          <w:i/>
        </w:rPr>
      </w:pPr>
      <w:r w:rsidRPr="00D0166D">
        <w:rPr>
          <w:rFonts w:cstheme="minorHAnsi"/>
          <w:i/>
        </w:rPr>
        <w:t xml:space="preserve">Załącznik nr </w:t>
      </w:r>
      <w:r w:rsidR="00D0166D" w:rsidRPr="00D0166D">
        <w:rPr>
          <w:rFonts w:cstheme="minorHAnsi"/>
          <w:i/>
        </w:rPr>
        <w:t>2</w:t>
      </w:r>
      <w:r w:rsidR="00F55EAB">
        <w:rPr>
          <w:rFonts w:cstheme="minorHAnsi"/>
          <w:i/>
        </w:rPr>
        <w:t xml:space="preserve"> do umowy </w:t>
      </w:r>
      <w:bookmarkStart w:id="0" w:name="_GoBack"/>
      <w:bookmarkEnd w:id="0"/>
      <w:r w:rsidR="00D0166D" w:rsidRPr="00D0166D">
        <w:rPr>
          <w:rFonts w:cstheme="minorHAnsi"/>
          <w:i/>
        </w:rPr>
        <w:t xml:space="preserve"> Oświadczenie Wykonawcy – DNSH</w:t>
      </w:r>
    </w:p>
    <w:p w:rsidR="009A67A4" w:rsidRPr="00A96CBC" w:rsidRDefault="009A67A4" w:rsidP="00A96CBC">
      <w:pPr>
        <w:spacing w:before="207"/>
        <w:ind w:right="4"/>
        <w:rPr>
          <w:rFonts w:cstheme="minorHAnsi"/>
        </w:rPr>
      </w:pPr>
    </w:p>
    <w:p w:rsidR="009E19C1" w:rsidRPr="00A96CBC" w:rsidRDefault="009A67A4" w:rsidP="00D0166D">
      <w:pPr>
        <w:spacing w:before="207"/>
        <w:ind w:right="4"/>
        <w:rPr>
          <w:rFonts w:cstheme="minorHAnsi"/>
        </w:rPr>
      </w:pPr>
      <w:r w:rsidRPr="00A96CBC">
        <w:rPr>
          <w:rFonts w:cstheme="minorHAnsi"/>
        </w:rPr>
        <w:t>Dotyczy postepowania realizowanego w ramach p</w:t>
      </w:r>
      <w:r w:rsidR="009E19C1" w:rsidRPr="00A96CBC">
        <w:rPr>
          <w:rFonts w:cstheme="minorHAnsi"/>
        </w:rPr>
        <w:t>rojekt</w:t>
      </w:r>
      <w:r w:rsidRPr="00A96CBC">
        <w:rPr>
          <w:rFonts w:cstheme="minorHAnsi"/>
        </w:rPr>
        <w:t>u</w:t>
      </w:r>
      <w:r w:rsidR="009E19C1" w:rsidRPr="00A96CBC">
        <w:rPr>
          <w:rFonts w:cstheme="minorHAnsi"/>
          <w:spacing w:val="-4"/>
        </w:rPr>
        <w:t xml:space="preserve"> </w:t>
      </w:r>
      <w:r w:rsidRPr="00A96CBC">
        <w:rPr>
          <w:rFonts w:cstheme="minorHAnsi"/>
        </w:rPr>
        <w:t>współfinansowanego</w:t>
      </w:r>
      <w:r w:rsidR="009E19C1" w:rsidRPr="00A96CBC">
        <w:rPr>
          <w:rFonts w:cstheme="minorHAnsi"/>
          <w:spacing w:val="-4"/>
        </w:rPr>
        <w:t xml:space="preserve"> </w:t>
      </w:r>
      <w:r w:rsidR="009E19C1" w:rsidRPr="00A96CBC">
        <w:rPr>
          <w:rFonts w:cstheme="minorHAnsi"/>
        </w:rPr>
        <w:t>ze</w:t>
      </w:r>
      <w:r w:rsidR="009E19C1" w:rsidRPr="00A96CBC">
        <w:rPr>
          <w:rFonts w:cstheme="minorHAnsi"/>
          <w:spacing w:val="-7"/>
        </w:rPr>
        <w:t xml:space="preserve"> </w:t>
      </w:r>
      <w:r w:rsidR="009E19C1" w:rsidRPr="00A96CBC">
        <w:rPr>
          <w:rFonts w:cstheme="minorHAnsi"/>
        </w:rPr>
        <w:t>środków</w:t>
      </w:r>
      <w:r w:rsidR="009E19C1" w:rsidRPr="00A96CBC">
        <w:rPr>
          <w:rFonts w:cstheme="minorHAnsi"/>
          <w:spacing w:val="-5"/>
        </w:rPr>
        <w:t xml:space="preserve"> </w:t>
      </w:r>
      <w:r w:rsidR="009E19C1" w:rsidRPr="00A96CBC">
        <w:rPr>
          <w:rFonts w:cstheme="minorHAnsi"/>
        </w:rPr>
        <w:t>Europejskiego</w:t>
      </w:r>
      <w:r w:rsidR="009E19C1" w:rsidRPr="00A96CBC">
        <w:rPr>
          <w:rFonts w:cstheme="minorHAnsi"/>
          <w:spacing w:val="-4"/>
        </w:rPr>
        <w:t xml:space="preserve"> </w:t>
      </w:r>
      <w:r w:rsidR="009E19C1" w:rsidRPr="00A96CBC">
        <w:rPr>
          <w:rFonts w:cstheme="minorHAnsi"/>
        </w:rPr>
        <w:t>Funduszu</w:t>
      </w:r>
      <w:r w:rsidR="009E19C1" w:rsidRPr="00A96CBC">
        <w:rPr>
          <w:rFonts w:cstheme="minorHAnsi"/>
          <w:spacing w:val="-3"/>
        </w:rPr>
        <w:t xml:space="preserve"> </w:t>
      </w:r>
      <w:r w:rsidR="009E19C1" w:rsidRPr="00A96CBC">
        <w:rPr>
          <w:rFonts w:cstheme="minorHAnsi"/>
        </w:rPr>
        <w:t>Społecznego</w:t>
      </w:r>
      <w:r w:rsidR="009E19C1" w:rsidRPr="00A96CBC">
        <w:rPr>
          <w:rFonts w:cstheme="minorHAnsi"/>
          <w:spacing w:val="-4"/>
        </w:rPr>
        <w:t xml:space="preserve"> </w:t>
      </w:r>
      <w:r w:rsidR="009E19C1" w:rsidRPr="00A96CBC">
        <w:rPr>
          <w:rFonts w:cstheme="minorHAnsi"/>
        </w:rPr>
        <w:t>Plus</w:t>
      </w:r>
      <w:r w:rsidR="009E19C1" w:rsidRPr="00A96CBC">
        <w:rPr>
          <w:rFonts w:cstheme="minorHAnsi"/>
          <w:spacing w:val="-4"/>
        </w:rPr>
        <w:t xml:space="preserve"> </w:t>
      </w:r>
      <w:r w:rsidR="009E19C1" w:rsidRPr="00A96CBC">
        <w:rPr>
          <w:rFonts w:cstheme="minorHAnsi"/>
        </w:rPr>
        <w:t>(EFS+)</w:t>
      </w:r>
      <w:r w:rsidR="009E19C1" w:rsidRPr="00A96CBC">
        <w:rPr>
          <w:rFonts w:cstheme="minorHAnsi"/>
          <w:spacing w:val="-5"/>
        </w:rPr>
        <w:t xml:space="preserve"> </w:t>
      </w:r>
      <w:r w:rsidR="009E19C1" w:rsidRPr="00A96CBC">
        <w:rPr>
          <w:rFonts w:cstheme="minorHAnsi"/>
        </w:rPr>
        <w:t>w ramach Priorytetu 6 „Fundusze Europejskie na wsparcie obywateli ”; Działania nr FELB.06.15 „Wsparcie na rzecz wczesnej edukacji i opieki nad dzieckiem (z wyłączeniem infrastruktury)”, Programu Fundusze Europejskie dla Lubuskiego 2021-2027</w:t>
      </w:r>
    </w:p>
    <w:p w:rsidR="009E19C1" w:rsidRPr="00A96CBC" w:rsidRDefault="009E19C1" w:rsidP="00A96CBC">
      <w:pPr>
        <w:ind w:left="2709" w:right="2709"/>
        <w:jc w:val="center"/>
        <w:rPr>
          <w:rFonts w:cstheme="minorHAnsi"/>
          <w:b/>
        </w:rPr>
      </w:pPr>
      <w:r w:rsidRPr="00A96CBC">
        <w:rPr>
          <w:rFonts w:cstheme="minorHAnsi"/>
        </w:rPr>
        <w:t>Nr umowy</w:t>
      </w:r>
      <w:r w:rsidR="009A67A4" w:rsidRPr="00A96CBC">
        <w:rPr>
          <w:rFonts w:cstheme="minorHAnsi"/>
        </w:rPr>
        <w:t xml:space="preserve"> o dofinansowanie</w:t>
      </w:r>
      <w:r w:rsidRPr="00A96CBC">
        <w:rPr>
          <w:rFonts w:cstheme="minorHAnsi"/>
        </w:rPr>
        <w:t xml:space="preserve">: </w:t>
      </w:r>
      <w:r w:rsidRPr="00A96CBC">
        <w:rPr>
          <w:rFonts w:cstheme="minorHAnsi"/>
          <w:b/>
        </w:rPr>
        <w:t>FELB.06.15-IZ.00-0030/25-00.</w:t>
      </w:r>
    </w:p>
    <w:p w:rsidR="009E19C1" w:rsidRPr="00A96CBC" w:rsidRDefault="009E19C1" w:rsidP="00A96CBC">
      <w:pPr>
        <w:ind w:left="2709" w:right="2709"/>
        <w:jc w:val="center"/>
        <w:rPr>
          <w:rFonts w:cstheme="minorHAnsi"/>
          <w:b/>
        </w:rPr>
      </w:pPr>
    </w:p>
    <w:p w:rsidR="009A67A4" w:rsidRPr="00A96CBC" w:rsidRDefault="009A67A4" w:rsidP="00A96CBC">
      <w:pPr>
        <w:spacing w:after="0"/>
        <w:jc w:val="center"/>
        <w:rPr>
          <w:rFonts w:cstheme="minorHAnsi"/>
        </w:rPr>
      </w:pPr>
      <w:r w:rsidRPr="00A96CBC">
        <w:rPr>
          <w:rFonts w:cstheme="minorHAnsi"/>
          <w:b/>
        </w:rPr>
        <w:t>Oświadczenie Wykonawcy – DNSH</w:t>
      </w:r>
    </w:p>
    <w:p w:rsidR="009A67A4" w:rsidRPr="00A96CBC" w:rsidRDefault="009A67A4" w:rsidP="00A96CBC">
      <w:pPr>
        <w:spacing w:after="0"/>
        <w:jc w:val="center"/>
        <w:rPr>
          <w:rFonts w:cstheme="minorHAnsi"/>
        </w:rPr>
      </w:pPr>
      <w:r w:rsidRPr="00A96CBC">
        <w:rPr>
          <w:rFonts w:cstheme="minorHAnsi"/>
        </w:rPr>
        <w:t>(Składane wraz z ofertą w postępowaniu)</w:t>
      </w:r>
    </w:p>
    <w:p w:rsidR="009A67A4" w:rsidRPr="00A96CBC" w:rsidRDefault="009A67A4" w:rsidP="00A96CBC">
      <w:pPr>
        <w:spacing w:after="0"/>
        <w:jc w:val="center"/>
        <w:rPr>
          <w:rFonts w:cstheme="minorHAnsi"/>
        </w:rPr>
      </w:pPr>
    </w:p>
    <w:p w:rsidR="009A67A4" w:rsidRPr="00A96CBC" w:rsidRDefault="009A67A4" w:rsidP="00A96CBC">
      <w:pPr>
        <w:spacing w:after="0"/>
        <w:rPr>
          <w:rFonts w:cstheme="minorHAnsi"/>
        </w:rPr>
      </w:pPr>
      <w:r w:rsidRPr="00A96CBC">
        <w:rPr>
          <w:rFonts w:cstheme="minorHAnsi"/>
          <w:b/>
          <w:color w:val="1F4E79"/>
        </w:rPr>
        <w:t>I. Dane Wykonawcy</w:t>
      </w:r>
    </w:p>
    <w:p w:rsidR="009A67A4" w:rsidRPr="00A96CBC" w:rsidRDefault="009A67A4" w:rsidP="00A96CBC">
      <w:pPr>
        <w:spacing w:after="0"/>
        <w:rPr>
          <w:rFonts w:cstheme="minorHAnsi"/>
        </w:rPr>
      </w:pPr>
      <w:r w:rsidRPr="00A96CBC">
        <w:rPr>
          <w:rFonts w:cstheme="minorHAnsi"/>
        </w:rPr>
        <w:t>Pełna nazwa (firma): ________________________________</w:t>
      </w:r>
      <w:r w:rsidRPr="00A96CBC">
        <w:rPr>
          <w:rFonts w:cstheme="minorHAnsi"/>
        </w:rPr>
        <w:br/>
        <w:t>Adres siedziby: __________________________________________</w:t>
      </w:r>
      <w:r w:rsidRPr="00A96CBC">
        <w:rPr>
          <w:rFonts w:cstheme="minorHAnsi"/>
        </w:rPr>
        <w:br/>
        <w:t>NIP/REGON/KRS: __________________________________________</w:t>
      </w:r>
      <w:r w:rsidRPr="00A96CBC">
        <w:rPr>
          <w:rFonts w:cstheme="minorHAnsi"/>
        </w:rPr>
        <w:br/>
        <w:t>Osoba uprawniona do reprezentacji: ________________________</w:t>
      </w:r>
      <w:r w:rsidRPr="00A96CBC">
        <w:rPr>
          <w:rFonts w:cstheme="minorHAnsi"/>
        </w:rPr>
        <w:br/>
        <w:t>Adres e-mail do korespondencji: ___________________________</w:t>
      </w:r>
      <w:r w:rsidRPr="00A96CBC">
        <w:rPr>
          <w:rFonts w:cstheme="minorHAnsi"/>
        </w:rPr>
        <w:br/>
        <w:t>Telefon: ________________________________________________</w:t>
      </w:r>
    </w:p>
    <w:p w:rsidR="009A67A4" w:rsidRPr="00A96CBC" w:rsidRDefault="009A67A4" w:rsidP="00A96CBC">
      <w:pPr>
        <w:spacing w:after="0"/>
        <w:rPr>
          <w:rFonts w:cstheme="minorHAnsi"/>
        </w:rPr>
      </w:pPr>
    </w:p>
    <w:p w:rsidR="009A67A4" w:rsidRPr="00A96CBC" w:rsidRDefault="009A67A4" w:rsidP="00A96CBC">
      <w:pPr>
        <w:spacing w:after="0"/>
        <w:jc w:val="both"/>
        <w:rPr>
          <w:rFonts w:cstheme="minorHAnsi"/>
          <w:b/>
          <w:color w:val="1F4E79"/>
        </w:rPr>
      </w:pPr>
      <w:r w:rsidRPr="00A96CBC">
        <w:rPr>
          <w:rFonts w:cstheme="minorHAnsi"/>
          <w:b/>
          <w:color w:val="1F4E79"/>
        </w:rPr>
        <w:t>II. Oświadczenie dotyczące zasady DNSH</w:t>
      </w:r>
    </w:p>
    <w:p w:rsidR="00A96CBC" w:rsidRPr="00A96CBC" w:rsidRDefault="00A96CBC" w:rsidP="00A96CBC">
      <w:pPr>
        <w:spacing w:after="0"/>
        <w:jc w:val="both"/>
        <w:rPr>
          <w:rFonts w:cstheme="minorHAnsi"/>
        </w:rPr>
      </w:pPr>
    </w:p>
    <w:p w:rsidR="009A67A4" w:rsidRPr="00A96CBC" w:rsidRDefault="009A67A4" w:rsidP="00A96CBC">
      <w:pPr>
        <w:spacing w:after="0"/>
        <w:ind w:firstLine="708"/>
        <w:jc w:val="both"/>
        <w:rPr>
          <w:rFonts w:cstheme="minorHAnsi"/>
        </w:rPr>
      </w:pPr>
      <w:r w:rsidRPr="00A96CBC">
        <w:rPr>
          <w:rFonts w:cstheme="minorHAnsi"/>
        </w:rPr>
        <w:t xml:space="preserve">Oświadczam(y), że realizacja przedmiotu zamówienia będzie prowadzona z poszanowaniem zasady „do no </w:t>
      </w:r>
      <w:proofErr w:type="spellStart"/>
      <w:r w:rsidRPr="00A96CBC">
        <w:rPr>
          <w:rFonts w:cstheme="minorHAnsi"/>
        </w:rPr>
        <w:t>significant</w:t>
      </w:r>
      <w:proofErr w:type="spellEnd"/>
      <w:r w:rsidRPr="00A96CBC">
        <w:rPr>
          <w:rFonts w:cstheme="minorHAnsi"/>
        </w:rPr>
        <w:t xml:space="preserve"> </w:t>
      </w:r>
      <w:proofErr w:type="spellStart"/>
      <w:r w:rsidRPr="00A96CBC">
        <w:rPr>
          <w:rFonts w:cstheme="minorHAnsi"/>
        </w:rPr>
        <w:t>harm</w:t>
      </w:r>
      <w:proofErr w:type="spellEnd"/>
      <w:r w:rsidRPr="00A96CBC">
        <w:rPr>
          <w:rFonts w:cstheme="minorHAnsi"/>
        </w:rPr>
        <w:t>” (DNSH – nieczynienia poważnych szkód dla środowiska)</w:t>
      </w:r>
      <w:r w:rsidR="00A96CBC" w:rsidRPr="00A96CBC">
        <w:rPr>
          <w:rFonts w:cstheme="minorHAnsi"/>
        </w:rPr>
        <w:t xml:space="preserve">- zgodnie z punktem III oświadczenia </w:t>
      </w:r>
      <w:r w:rsidRPr="00A96CBC">
        <w:rPr>
          <w:rFonts w:cstheme="minorHAnsi"/>
        </w:rPr>
        <w:t xml:space="preserve">. </w:t>
      </w:r>
    </w:p>
    <w:p w:rsidR="00C9746A" w:rsidRPr="00A96CBC" w:rsidRDefault="00C9746A" w:rsidP="00A96CBC">
      <w:pPr>
        <w:spacing w:after="160"/>
        <w:jc w:val="both"/>
        <w:rPr>
          <w:rFonts w:cstheme="minorHAnsi"/>
        </w:rPr>
      </w:pPr>
      <w:r w:rsidRPr="00A96CBC">
        <w:rPr>
          <w:rFonts w:cstheme="minorHAnsi"/>
        </w:rPr>
        <w:t xml:space="preserve">Ponadto </w:t>
      </w:r>
      <w:r w:rsidRPr="00A96CBC">
        <w:rPr>
          <w:rFonts w:cstheme="minorHAnsi"/>
          <w:bCs/>
        </w:rPr>
        <w:t xml:space="preserve"> zobowiązuję się  do odbioru i zagospodarowania odpadów opakowaniowych oraz montażowych.</w:t>
      </w:r>
    </w:p>
    <w:p w:rsidR="009A67A4" w:rsidRPr="00A96CBC" w:rsidRDefault="009A67A4" w:rsidP="00A96CBC">
      <w:pPr>
        <w:spacing w:after="0"/>
        <w:jc w:val="both"/>
        <w:rPr>
          <w:rFonts w:cstheme="minorHAnsi"/>
        </w:rPr>
      </w:pPr>
    </w:p>
    <w:p w:rsidR="009A67A4" w:rsidRPr="00A96CBC" w:rsidRDefault="009A67A4" w:rsidP="00A96CBC">
      <w:pPr>
        <w:spacing w:after="0"/>
        <w:jc w:val="both"/>
        <w:rPr>
          <w:rFonts w:cstheme="minorHAnsi"/>
        </w:rPr>
      </w:pPr>
      <w:r w:rsidRPr="00A96CBC">
        <w:rPr>
          <w:rFonts w:cstheme="minorHAnsi"/>
          <w:b/>
          <w:color w:val="1F4E79"/>
        </w:rPr>
        <w:t>III. Informacja praktyczna dla Wykonawcy</w:t>
      </w:r>
    </w:p>
    <w:p w:rsidR="009A67A4" w:rsidRPr="00A96CBC" w:rsidRDefault="009A67A4" w:rsidP="00A96CBC">
      <w:pPr>
        <w:jc w:val="both"/>
        <w:rPr>
          <w:rFonts w:cstheme="minorHAnsi"/>
        </w:rPr>
      </w:pPr>
      <w:r w:rsidRPr="00A96CBC">
        <w:rPr>
          <w:rFonts w:cstheme="minorHAnsi"/>
        </w:rPr>
        <w:t>Zadanie 1 – Panele edukacyjne (</w:t>
      </w:r>
      <w:r w:rsidR="00696D7A">
        <w:rPr>
          <w:rFonts w:cstheme="minorHAnsi"/>
        </w:rPr>
        <w:t xml:space="preserve">typu </w:t>
      </w:r>
      <w:r w:rsidRPr="00A96CBC">
        <w:rPr>
          <w:rFonts w:cstheme="minorHAnsi"/>
        </w:rPr>
        <w:t xml:space="preserve">Kółko i krzyżyk, Zegar fenologiczny, Zgaduj Zgadula) </w:t>
      </w:r>
    </w:p>
    <w:p w:rsidR="009A67A4" w:rsidRPr="00A96CBC" w:rsidRDefault="009A67A4" w:rsidP="00A96CBC">
      <w:pPr>
        <w:jc w:val="both"/>
        <w:rPr>
          <w:rFonts w:cstheme="minorHAnsi"/>
        </w:rPr>
      </w:pPr>
      <w:r w:rsidRPr="00A96CBC">
        <w:rPr>
          <w:rFonts w:cstheme="minorHAnsi"/>
        </w:rPr>
        <w:t>W przypadku dostawy i montażu elementów małej architektury na zewnątrz, kluczowe są aspekty gospodarki o obiegu zamkniętym oraz zapobiegania zanieczyszczeniom:</w:t>
      </w:r>
    </w:p>
    <w:p w:rsidR="009A67A4" w:rsidRPr="00A96CBC" w:rsidRDefault="009A67A4" w:rsidP="00A96CBC">
      <w:pPr>
        <w:numPr>
          <w:ilvl w:val="0"/>
          <w:numId w:val="21"/>
        </w:numPr>
        <w:spacing w:after="160"/>
        <w:jc w:val="both"/>
        <w:rPr>
          <w:rFonts w:cstheme="minorHAnsi"/>
        </w:rPr>
      </w:pPr>
      <w:r w:rsidRPr="00A96CBC">
        <w:rPr>
          <w:rFonts w:cstheme="minorHAnsi"/>
          <w:bCs/>
        </w:rPr>
        <w:t>Zrównoważone pozyskiwanie drewna</w:t>
      </w:r>
      <w:r w:rsidRPr="00A96CBC">
        <w:rPr>
          <w:rFonts w:cstheme="minorHAnsi"/>
          <w:b/>
          <w:bCs/>
        </w:rPr>
        <w:t>:</w:t>
      </w:r>
      <w:r w:rsidRPr="00A96CBC">
        <w:rPr>
          <w:rFonts w:cstheme="minorHAnsi"/>
        </w:rPr>
        <w:t xml:space="preserve"> Wszystkie elementy drewniane wykorzystane do budowy paneli i zadaszeń muszą pochodzić z legalnych źródeł. Wykonawca ma obowiązek przedstawić certyfikat FSC lub PEFC (lub równoważny), co gwarantuje ochronę bioróżnorodności leśnej.</w:t>
      </w:r>
    </w:p>
    <w:p w:rsidR="009A67A4" w:rsidRPr="00A96CBC" w:rsidRDefault="009A67A4" w:rsidP="00A96CBC">
      <w:pPr>
        <w:numPr>
          <w:ilvl w:val="0"/>
          <w:numId w:val="21"/>
        </w:numPr>
        <w:spacing w:after="160"/>
        <w:jc w:val="both"/>
        <w:rPr>
          <w:rFonts w:cstheme="minorHAnsi"/>
        </w:rPr>
      </w:pPr>
      <w:r w:rsidRPr="00A96CBC">
        <w:rPr>
          <w:rFonts w:cstheme="minorHAnsi"/>
          <w:bCs/>
        </w:rPr>
        <w:lastRenderedPageBreak/>
        <w:t>Bezpieczna impregnacja i nadruk</w:t>
      </w:r>
      <w:r w:rsidRPr="00A96CBC">
        <w:rPr>
          <w:rFonts w:cstheme="minorHAnsi"/>
          <w:b/>
          <w:bCs/>
        </w:rPr>
        <w:t>:</w:t>
      </w:r>
      <w:r w:rsidRPr="00A96CBC">
        <w:rPr>
          <w:rFonts w:cstheme="minorHAnsi"/>
        </w:rPr>
        <w:t xml:space="preserve"> Środki ochronne użyte do trzykrotnego zabezpieczenia drewna oraz farby stosowane w technologii UV lub </w:t>
      </w:r>
      <w:proofErr w:type="spellStart"/>
      <w:r w:rsidRPr="00A96CBC">
        <w:rPr>
          <w:rFonts w:cstheme="minorHAnsi"/>
        </w:rPr>
        <w:t>solwentowej</w:t>
      </w:r>
      <w:proofErr w:type="spellEnd"/>
      <w:r w:rsidRPr="00A96CBC">
        <w:rPr>
          <w:rFonts w:cstheme="minorHAnsi"/>
        </w:rPr>
        <w:t xml:space="preserve"> muszą być wolne od substancji niebezpiecznych wymienionych w rozporządzeniu REACH (lista SVHC). Wykonawca musi zagwarantować, że produkty nie uwalniają szkodliwych związków do gleby ani powietrza.</w:t>
      </w:r>
    </w:p>
    <w:p w:rsidR="009A67A4" w:rsidRPr="00A96CBC" w:rsidRDefault="009A67A4" w:rsidP="00A96CBC">
      <w:pPr>
        <w:numPr>
          <w:ilvl w:val="0"/>
          <w:numId w:val="21"/>
        </w:numPr>
        <w:spacing w:after="160"/>
        <w:jc w:val="both"/>
        <w:rPr>
          <w:rFonts w:cstheme="minorHAnsi"/>
        </w:rPr>
      </w:pPr>
      <w:r w:rsidRPr="00A96CBC">
        <w:rPr>
          <w:rFonts w:cstheme="minorHAnsi"/>
          <w:bCs/>
        </w:rPr>
        <w:t>Gospodarka odpadami przy montażu</w:t>
      </w:r>
      <w:r w:rsidRPr="00A96CBC">
        <w:rPr>
          <w:rFonts w:cstheme="minorHAnsi"/>
          <w:b/>
          <w:bCs/>
        </w:rPr>
        <w:t>:</w:t>
      </w:r>
      <w:r w:rsidRPr="00A96CBC">
        <w:rPr>
          <w:rFonts w:cstheme="minorHAnsi"/>
        </w:rPr>
        <w:t xml:space="preserve"> Wykonawca jest zobowiązany do segregacji i odbioru wszelkich odpadów powstałych podczas montażu w gruncie (np. resztki opakowań, nadmiar betonu, folie). Odpady te muszą zostać przekazane do odzysku lub recyklingu.</w:t>
      </w:r>
    </w:p>
    <w:p w:rsidR="009A67A4" w:rsidRPr="00A96CBC" w:rsidRDefault="009A67A4" w:rsidP="00A96CBC">
      <w:pPr>
        <w:numPr>
          <w:ilvl w:val="0"/>
          <w:numId w:val="21"/>
        </w:numPr>
        <w:spacing w:after="160"/>
        <w:jc w:val="both"/>
        <w:rPr>
          <w:rFonts w:cstheme="minorHAnsi"/>
        </w:rPr>
      </w:pPr>
      <w:r w:rsidRPr="00A96CBC">
        <w:rPr>
          <w:rFonts w:cstheme="minorHAnsi"/>
          <w:bCs/>
        </w:rPr>
        <w:t>Trwałość i naprawialność</w:t>
      </w:r>
      <w:r w:rsidRPr="00A96CBC">
        <w:rPr>
          <w:rFonts w:cstheme="minorHAnsi"/>
          <w:b/>
          <w:bCs/>
        </w:rPr>
        <w:t>:</w:t>
      </w:r>
      <w:r w:rsidRPr="00A96CBC">
        <w:rPr>
          <w:rFonts w:cstheme="minorHAnsi"/>
        </w:rPr>
        <w:t xml:space="preserve"> Konstrukcje muszą posiadać certyfikat zgodności z normą PN-EN 1176, co potwierdza ich wysoką odporność mechaniczną. Wykonawca musi zapewnić dostępność części zamiennych (np. sześcianów obrotowych) w okresie gwarancyjnym i pogwarancyjnym, aby uniknąć konieczności wymiany całych urządzeń.</w:t>
      </w:r>
    </w:p>
    <w:p w:rsidR="009A67A4" w:rsidRPr="00A96CBC" w:rsidRDefault="009A67A4" w:rsidP="00A96CBC">
      <w:pPr>
        <w:jc w:val="both"/>
        <w:rPr>
          <w:rFonts w:cstheme="minorHAnsi"/>
        </w:rPr>
      </w:pPr>
      <w:r w:rsidRPr="00A96CBC">
        <w:rPr>
          <w:rFonts w:cstheme="minorHAnsi"/>
        </w:rPr>
        <w:t xml:space="preserve">Zadanie 2 – Pomoce matematyczno-informatyczne (Roboty i zestawy do kodowania) </w:t>
      </w:r>
    </w:p>
    <w:p w:rsidR="009A67A4" w:rsidRPr="00A96CBC" w:rsidRDefault="009A67A4" w:rsidP="00A96CBC">
      <w:pPr>
        <w:jc w:val="both"/>
        <w:rPr>
          <w:rFonts w:cstheme="minorHAnsi"/>
        </w:rPr>
      </w:pPr>
      <w:r w:rsidRPr="00A96CBC">
        <w:rPr>
          <w:rFonts w:cstheme="minorHAnsi"/>
        </w:rPr>
        <w:t>W przypadku elektroniki i zabawek z tworzyw sztucznych, warunki skupiają się na efektywności energetycznej i zarządzaniu zużytym sprzętem:</w:t>
      </w:r>
    </w:p>
    <w:p w:rsidR="009A67A4" w:rsidRPr="00A96CBC" w:rsidRDefault="009A67A4" w:rsidP="00A96CBC">
      <w:pPr>
        <w:numPr>
          <w:ilvl w:val="0"/>
          <w:numId w:val="22"/>
        </w:numPr>
        <w:spacing w:after="160"/>
        <w:jc w:val="both"/>
        <w:rPr>
          <w:rFonts w:cstheme="minorHAnsi"/>
        </w:rPr>
      </w:pPr>
      <w:r w:rsidRPr="00A96CBC">
        <w:rPr>
          <w:rFonts w:cstheme="minorHAnsi"/>
          <w:bCs/>
        </w:rPr>
        <w:t>Bezpieczeństwo materiałowe i chemiczne</w:t>
      </w:r>
      <w:r w:rsidRPr="00A96CBC">
        <w:rPr>
          <w:rFonts w:cstheme="minorHAnsi"/>
          <w:b/>
          <w:bCs/>
        </w:rPr>
        <w:t>:</w:t>
      </w:r>
      <w:r w:rsidRPr="00A96CBC">
        <w:rPr>
          <w:rFonts w:cstheme="minorHAnsi"/>
        </w:rPr>
        <w:t xml:space="preserve"> Produkty wykonane z tworzywa sztucznego muszą posiadać oznaczenie CE oraz spełniać wymagania dyrektywy </w:t>
      </w:r>
      <w:proofErr w:type="spellStart"/>
      <w:r w:rsidRPr="00A96CBC">
        <w:rPr>
          <w:rFonts w:cstheme="minorHAnsi"/>
        </w:rPr>
        <w:t>RoHS</w:t>
      </w:r>
      <w:proofErr w:type="spellEnd"/>
      <w:r w:rsidRPr="00A96CBC">
        <w:rPr>
          <w:rFonts w:cstheme="minorHAnsi"/>
        </w:rPr>
        <w:t>, co ogranicza stosowanie niebezpiecznych substancji w sprzęcie elektronicznym (np. ołowiu, rtęci, kadmu).</w:t>
      </w:r>
    </w:p>
    <w:p w:rsidR="009A67A4" w:rsidRPr="00A96CBC" w:rsidRDefault="009A67A4" w:rsidP="00A96CBC">
      <w:pPr>
        <w:numPr>
          <w:ilvl w:val="0"/>
          <w:numId w:val="22"/>
        </w:numPr>
        <w:spacing w:after="160"/>
        <w:jc w:val="both"/>
        <w:rPr>
          <w:rFonts w:cstheme="minorHAnsi"/>
        </w:rPr>
      </w:pPr>
      <w:r w:rsidRPr="00A96CBC">
        <w:rPr>
          <w:rFonts w:cstheme="minorHAnsi"/>
          <w:bCs/>
        </w:rPr>
        <w:t>Efektywność zasilania</w:t>
      </w:r>
      <w:r w:rsidRPr="00A96CBC">
        <w:rPr>
          <w:rFonts w:cstheme="minorHAnsi"/>
          <w:b/>
          <w:bCs/>
        </w:rPr>
        <w:t>:</w:t>
      </w:r>
      <w:r w:rsidRPr="00A96CBC">
        <w:rPr>
          <w:rFonts w:cstheme="minorHAnsi"/>
        </w:rPr>
        <w:t xml:space="preserve"> Roboty wyposażone w stacje ładujące muszą charakteryzować się niskim poborem energii w trybie czuwania. Akumulatory powinny być trwałe i wymienne, co wydłuża cykl życia robota.</w:t>
      </w:r>
    </w:p>
    <w:p w:rsidR="009A67A4" w:rsidRPr="00A96CBC" w:rsidRDefault="009A67A4" w:rsidP="00A96CBC">
      <w:pPr>
        <w:numPr>
          <w:ilvl w:val="0"/>
          <w:numId w:val="22"/>
        </w:numPr>
        <w:spacing w:after="160"/>
        <w:jc w:val="both"/>
        <w:rPr>
          <w:rFonts w:cstheme="minorHAnsi"/>
        </w:rPr>
      </w:pPr>
      <w:r w:rsidRPr="00A96CBC">
        <w:rPr>
          <w:rFonts w:cstheme="minorHAnsi"/>
          <w:bCs/>
        </w:rPr>
        <w:t>Minimalizacja opakowań</w:t>
      </w:r>
      <w:r w:rsidRPr="00A96CBC">
        <w:rPr>
          <w:rFonts w:cstheme="minorHAnsi"/>
          <w:b/>
          <w:bCs/>
        </w:rPr>
        <w:t>:</w:t>
      </w:r>
      <w:r w:rsidRPr="00A96CBC">
        <w:rPr>
          <w:rFonts w:cstheme="minorHAnsi"/>
        </w:rPr>
        <w:t xml:space="preserve"> Wykonawca powinien dostarczyć zestawy w opakowaniach zbiorczych, minimalizując użycie wypełniaczy z tworzyw sztucznych (np. styropianu) na rzecz materiałów biodegradowalnych lub tektury z recyklingu.</w:t>
      </w:r>
    </w:p>
    <w:p w:rsidR="009A67A4" w:rsidRPr="00A96CBC" w:rsidRDefault="009A67A4" w:rsidP="00A96CBC">
      <w:pPr>
        <w:numPr>
          <w:ilvl w:val="0"/>
          <w:numId w:val="22"/>
        </w:numPr>
        <w:spacing w:after="160"/>
        <w:jc w:val="both"/>
        <w:rPr>
          <w:rFonts w:cstheme="minorHAnsi"/>
        </w:rPr>
      </w:pPr>
      <w:r w:rsidRPr="00A96CBC">
        <w:rPr>
          <w:rFonts w:cstheme="minorHAnsi"/>
          <w:bCs/>
        </w:rPr>
        <w:t>Gospodarka zużytym sprzętem</w:t>
      </w:r>
      <w:r w:rsidRPr="00A96CBC">
        <w:rPr>
          <w:rFonts w:cstheme="minorHAnsi"/>
          <w:b/>
          <w:bCs/>
        </w:rPr>
        <w:t>:</w:t>
      </w:r>
      <w:r w:rsidRPr="00A96CBC">
        <w:rPr>
          <w:rFonts w:cstheme="minorHAnsi"/>
        </w:rPr>
        <w:t xml:space="preserve"> Wykonawca musi zapewnić informację o sposobie postępowania ze zużytym sprzętem elektrycznym i elektronicznym (ZSEE) oraz zagwarantować, że oferowane produkty nadają się do recyklingu po zakończeniu eksploatacji.</w:t>
      </w:r>
    </w:p>
    <w:p w:rsidR="009A67A4" w:rsidRPr="00A96CBC" w:rsidRDefault="009A67A4" w:rsidP="00A96CBC">
      <w:pPr>
        <w:jc w:val="both"/>
        <w:rPr>
          <w:rFonts w:cstheme="minorHAnsi"/>
          <w:b/>
          <w:bCs/>
        </w:rPr>
      </w:pPr>
      <w:r w:rsidRPr="00A96CBC">
        <w:rPr>
          <w:rFonts w:cstheme="minorHAnsi"/>
          <w:b/>
          <w:bCs/>
        </w:rPr>
        <w:t>Warunki transportu i logistyki (Zadania 1 i 2)</w:t>
      </w:r>
    </w:p>
    <w:p w:rsidR="009A67A4" w:rsidRPr="00A96CBC" w:rsidRDefault="009A67A4" w:rsidP="00A96CBC">
      <w:pPr>
        <w:jc w:val="both"/>
        <w:rPr>
          <w:rFonts w:cstheme="minorHAnsi"/>
        </w:rPr>
      </w:pPr>
      <w:r w:rsidRPr="00A96CBC">
        <w:rPr>
          <w:rFonts w:cstheme="minorHAnsi"/>
        </w:rPr>
        <w:t>Dla obu zadań częściowych, w których przewidziano transport i montaż:</w:t>
      </w:r>
    </w:p>
    <w:p w:rsidR="009A67A4" w:rsidRPr="00A96CBC" w:rsidRDefault="009A67A4" w:rsidP="00A96CBC">
      <w:pPr>
        <w:numPr>
          <w:ilvl w:val="0"/>
          <w:numId w:val="23"/>
        </w:numPr>
        <w:spacing w:after="160"/>
        <w:jc w:val="both"/>
        <w:rPr>
          <w:rFonts w:cstheme="minorHAnsi"/>
        </w:rPr>
      </w:pPr>
      <w:r w:rsidRPr="00A96CBC">
        <w:rPr>
          <w:rFonts w:cstheme="minorHAnsi"/>
          <w:bCs/>
        </w:rPr>
        <w:t>Niskoemisyjna dostawa</w:t>
      </w:r>
      <w:r w:rsidRPr="00A96CBC">
        <w:rPr>
          <w:rFonts w:cstheme="minorHAnsi"/>
          <w:b/>
          <w:bCs/>
        </w:rPr>
        <w:t>:</w:t>
      </w:r>
      <w:r w:rsidRPr="00A96CBC">
        <w:rPr>
          <w:rFonts w:cstheme="minorHAnsi"/>
        </w:rPr>
        <w:t xml:space="preserve"> Wykonawca powinien zadeklarować, że transport paneli i pomocy dydaktycznych do Przedszkoli Miejskich w Kostrzynie nad Odrą zostanie zrealizowany pojazdem spełniającym normę emisji spalin co najmniej Euro 6.</w:t>
      </w:r>
    </w:p>
    <w:p w:rsidR="009A67A4" w:rsidRDefault="009A67A4" w:rsidP="00A96CBC">
      <w:pPr>
        <w:numPr>
          <w:ilvl w:val="0"/>
          <w:numId w:val="23"/>
        </w:numPr>
        <w:spacing w:after="160"/>
        <w:jc w:val="both"/>
        <w:rPr>
          <w:rFonts w:cstheme="minorHAnsi"/>
        </w:rPr>
      </w:pPr>
      <w:r w:rsidRPr="00A96CBC">
        <w:rPr>
          <w:rFonts w:cstheme="minorHAnsi"/>
          <w:bCs/>
        </w:rPr>
        <w:t>Optymalizacja logistyki:</w:t>
      </w:r>
      <w:r w:rsidRPr="00A96CBC">
        <w:rPr>
          <w:rFonts w:cstheme="minorHAnsi"/>
        </w:rPr>
        <w:t xml:space="preserve"> W przypadku montażu paneli w kilku lokalizacjach, wykonawca zobowiązany jest do zaplanowania prac w sposób minimalizujący liczbę przejazdów sprzętu montażowego.</w:t>
      </w:r>
    </w:p>
    <w:p w:rsidR="00D0166D" w:rsidRDefault="00D0166D" w:rsidP="00D0166D">
      <w:pPr>
        <w:spacing w:after="160"/>
        <w:jc w:val="both"/>
        <w:rPr>
          <w:rFonts w:cstheme="minorHAnsi"/>
        </w:rPr>
      </w:pPr>
    </w:p>
    <w:p w:rsidR="00D0166D" w:rsidRPr="00A96CBC" w:rsidRDefault="00D0166D" w:rsidP="00D0166D">
      <w:pPr>
        <w:spacing w:after="160"/>
        <w:jc w:val="both"/>
        <w:rPr>
          <w:rFonts w:cstheme="minorHAnsi"/>
        </w:rPr>
      </w:pPr>
    </w:p>
    <w:p w:rsidR="009A67A4" w:rsidRPr="00A96CBC" w:rsidRDefault="009A67A4" w:rsidP="00A96CBC">
      <w:pPr>
        <w:jc w:val="both"/>
        <w:rPr>
          <w:rFonts w:cstheme="minorHAnsi"/>
          <w:b/>
          <w:bCs/>
        </w:rPr>
      </w:pPr>
      <w:r w:rsidRPr="00A96CBC">
        <w:rPr>
          <w:rFonts w:cstheme="minorHAnsi"/>
          <w:b/>
          <w:bCs/>
        </w:rPr>
        <w:t>Sposób weryfikacji warunków DNSH</w:t>
      </w:r>
    </w:p>
    <w:p w:rsidR="009A67A4" w:rsidRPr="00A96CBC" w:rsidRDefault="00146E89" w:rsidP="00A96CBC">
      <w:pPr>
        <w:numPr>
          <w:ilvl w:val="0"/>
          <w:numId w:val="24"/>
        </w:numPr>
        <w:spacing w:after="160"/>
        <w:jc w:val="both"/>
        <w:rPr>
          <w:rFonts w:cstheme="minorHAnsi"/>
        </w:rPr>
      </w:pPr>
      <w:r w:rsidRPr="00A96CBC">
        <w:rPr>
          <w:rFonts w:cstheme="minorHAnsi"/>
        </w:rPr>
        <w:t xml:space="preserve">Poza powyższym oświadczeniem </w:t>
      </w:r>
      <w:r w:rsidR="009A67A4" w:rsidRPr="00A96CBC">
        <w:rPr>
          <w:rFonts w:cstheme="minorHAnsi"/>
          <w:b/>
          <w:bCs/>
        </w:rPr>
        <w:t xml:space="preserve"> o zgodności z zasadą DNSH</w:t>
      </w:r>
      <w:r w:rsidR="009A67A4" w:rsidRPr="00A96CBC">
        <w:rPr>
          <w:rFonts w:cstheme="minorHAnsi"/>
        </w:rPr>
        <w:t xml:space="preserve"> </w:t>
      </w:r>
      <w:r w:rsidRPr="00A96CBC">
        <w:rPr>
          <w:rFonts w:cstheme="minorHAnsi"/>
        </w:rPr>
        <w:t>Wykonawca zobowiązany jest załączyć do oświadczenia :</w:t>
      </w:r>
    </w:p>
    <w:p w:rsidR="009A67A4" w:rsidRPr="00A96CBC" w:rsidRDefault="00146E89" w:rsidP="00A96CBC">
      <w:pPr>
        <w:spacing w:after="160"/>
        <w:ind w:left="720"/>
        <w:jc w:val="both"/>
        <w:rPr>
          <w:rFonts w:cstheme="minorHAnsi"/>
        </w:rPr>
      </w:pPr>
      <w:r w:rsidRPr="00A96CBC">
        <w:rPr>
          <w:rFonts w:cstheme="minorHAnsi"/>
          <w:b/>
          <w:bCs/>
        </w:rPr>
        <w:t>- Certyfikat</w:t>
      </w:r>
      <w:r w:rsidR="009A67A4" w:rsidRPr="00A96CBC">
        <w:rPr>
          <w:rFonts w:cstheme="minorHAnsi"/>
          <w:b/>
          <w:bCs/>
        </w:rPr>
        <w:t xml:space="preserve"> FSC/PEFC</w:t>
      </w:r>
      <w:r w:rsidR="009A67A4" w:rsidRPr="00A96CBC">
        <w:rPr>
          <w:rFonts w:cstheme="minorHAnsi"/>
        </w:rPr>
        <w:t xml:space="preserve"> – dla elementów drewnianych z Zadania 1.</w:t>
      </w:r>
    </w:p>
    <w:p w:rsidR="009A67A4" w:rsidRPr="00A96CBC" w:rsidRDefault="00146E89" w:rsidP="00A96CBC">
      <w:pPr>
        <w:spacing w:after="160"/>
        <w:ind w:left="720"/>
        <w:jc w:val="both"/>
        <w:rPr>
          <w:rFonts w:cstheme="minorHAnsi"/>
        </w:rPr>
      </w:pPr>
      <w:r w:rsidRPr="00A96CBC">
        <w:rPr>
          <w:rFonts w:cstheme="minorHAnsi"/>
          <w:b/>
          <w:bCs/>
        </w:rPr>
        <w:t xml:space="preserve">- </w:t>
      </w:r>
      <w:r w:rsidR="009A67A4" w:rsidRPr="00A96CBC">
        <w:rPr>
          <w:rFonts w:cstheme="minorHAnsi"/>
          <w:b/>
          <w:bCs/>
        </w:rPr>
        <w:t>Kart</w:t>
      </w:r>
      <w:r w:rsidRPr="00A96CBC">
        <w:rPr>
          <w:rFonts w:cstheme="minorHAnsi"/>
          <w:b/>
          <w:bCs/>
        </w:rPr>
        <w:t>ę</w:t>
      </w:r>
      <w:r w:rsidR="009A67A4" w:rsidRPr="00A96CBC">
        <w:rPr>
          <w:rFonts w:cstheme="minorHAnsi"/>
          <w:b/>
          <w:bCs/>
        </w:rPr>
        <w:t xml:space="preserve"> charakterystyki lub deklaracji zgodności</w:t>
      </w:r>
      <w:r w:rsidR="009A67A4" w:rsidRPr="00A96CBC">
        <w:rPr>
          <w:rFonts w:cstheme="minorHAnsi"/>
        </w:rPr>
        <w:t xml:space="preserve"> – dla środków impregnujących oraz materiałów, z których wykonano roboty (oznaczenie CE i </w:t>
      </w:r>
      <w:proofErr w:type="spellStart"/>
      <w:r w:rsidR="009A67A4" w:rsidRPr="00A96CBC">
        <w:rPr>
          <w:rFonts w:cstheme="minorHAnsi"/>
        </w:rPr>
        <w:t>RoHS</w:t>
      </w:r>
      <w:proofErr w:type="spellEnd"/>
      <w:r w:rsidR="009A67A4" w:rsidRPr="00A96CBC">
        <w:rPr>
          <w:rFonts w:cstheme="minorHAnsi"/>
        </w:rPr>
        <w:t>).</w:t>
      </w:r>
    </w:p>
    <w:p w:rsidR="009A67A4" w:rsidRPr="00A96CBC" w:rsidRDefault="009A67A4" w:rsidP="00A96CBC">
      <w:pPr>
        <w:spacing w:after="0"/>
        <w:rPr>
          <w:rFonts w:cstheme="minorHAnsi"/>
        </w:rPr>
      </w:pPr>
    </w:p>
    <w:p w:rsidR="009A67A4" w:rsidRDefault="009A67A4" w:rsidP="00A96CBC">
      <w:pPr>
        <w:spacing w:after="0"/>
        <w:rPr>
          <w:rFonts w:cstheme="minorHAnsi"/>
          <w:b/>
          <w:color w:val="1F4E79"/>
        </w:rPr>
      </w:pPr>
      <w:r w:rsidRPr="00A96CBC">
        <w:rPr>
          <w:rFonts w:cstheme="minorHAnsi"/>
          <w:b/>
          <w:color w:val="1F4E79"/>
        </w:rPr>
        <w:t>IV. Miejsce i podpis</w:t>
      </w:r>
    </w:p>
    <w:p w:rsidR="00D0166D" w:rsidRPr="00A96CBC" w:rsidRDefault="00D0166D" w:rsidP="00A96CBC">
      <w:pPr>
        <w:spacing w:after="0"/>
        <w:rPr>
          <w:rFonts w:cstheme="minorHAnsi"/>
        </w:rPr>
      </w:pPr>
    </w:p>
    <w:p w:rsidR="00A96CBC" w:rsidRDefault="009A67A4" w:rsidP="00A96CBC">
      <w:pPr>
        <w:spacing w:after="0"/>
        <w:rPr>
          <w:rFonts w:cstheme="minorHAnsi"/>
        </w:rPr>
      </w:pPr>
      <w:r w:rsidRPr="00A96CBC">
        <w:rPr>
          <w:rFonts w:cstheme="minorHAnsi"/>
        </w:rPr>
        <w:t>Miejscowość, data: ______________________________</w:t>
      </w:r>
      <w:r w:rsidRPr="00A96CBC">
        <w:rPr>
          <w:rFonts w:cstheme="minorHAnsi"/>
        </w:rPr>
        <w:br/>
        <w:t xml:space="preserve">Podpis osoby uprawnionej do reprezentacji Wykonawcy (e-podpis): </w:t>
      </w:r>
    </w:p>
    <w:p w:rsidR="00A96CBC" w:rsidRDefault="00A96CBC" w:rsidP="00A96CBC">
      <w:pPr>
        <w:spacing w:after="0"/>
        <w:rPr>
          <w:rFonts w:cstheme="minorHAnsi"/>
        </w:rPr>
      </w:pPr>
    </w:p>
    <w:p w:rsidR="00A96CBC" w:rsidRDefault="00A96CBC" w:rsidP="00A96CBC">
      <w:pPr>
        <w:spacing w:after="0"/>
        <w:rPr>
          <w:rFonts w:cstheme="minorHAnsi"/>
        </w:rPr>
      </w:pPr>
    </w:p>
    <w:p w:rsidR="00A96CBC" w:rsidRDefault="00A96CBC" w:rsidP="00A96CBC">
      <w:pPr>
        <w:spacing w:after="0"/>
        <w:rPr>
          <w:rFonts w:cstheme="minorHAnsi"/>
        </w:rPr>
      </w:pPr>
    </w:p>
    <w:p w:rsidR="00A96CBC" w:rsidRDefault="00A96CBC" w:rsidP="00A96CBC">
      <w:pPr>
        <w:spacing w:after="0"/>
        <w:rPr>
          <w:rFonts w:cstheme="minorHAnsi"/>
        </w:rPr>
      </w:pPr>
    </w:p>
    <w:p w:rsidR="009A67A4" w:rsidRPr="00A96CBC" w:rsidRDefault="009A67A4" w:rsidP="00A96CBC">
      <w:pPr>
        <w:spacing w:after="0"/>
        <w:rPr>
          <w:rFonts w:cstheme="minorHAnsi"/>
        </w:rPr>
      </w:pPr>
      <w:r w:rsidRPr="00A96CBC">
        <w:rPr>
          <w:rFonts w:cstheme="minorHAnsi"/>
        </w:rPr>
        <w:t>______________________________</w:t>
      </w:r>
    </w:p>
    <w:p w:rsidR="009A67A4" w:rsidRPr="00A96CBC" w:rsidRDefault="009A67A4" w:rsidP="00A96CBC">
      <w:pPr>
        <w:ind w:left="2709" w:right="2709"/>
        <w:rPr>
          <w:rFonts w:cstheme="minorHAnsi"/>
          <w:b/>
        </w:rPr>
      </w:pPr>
    </w:p>
    <w:sectPr w:rsidR="009A67A4" w:rsidRPr="00A96C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0C5" w:rsidRDefault="006270C5" w:rsidP="00E9311B">
      <w:pPr>
        <w:spacing w:after="0" w:line="240" w:lineRule="auto"/>
      </w:pPr>
      <w:r>
        <w:separator/>
      </w:r>
    </w:p>
  </w:endnote>
  <w:endnote w:type="continuationSeparator" w:id="0">
    <w:p w:rsidR="006270C5" w:rsidRDefault="006270C5" w:rsidP="00E93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830" w:rsidRDefault="009D483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9234163"/>
      <w:docPartObj>
        <w:docPartGallery w:val="Page Numbers (Bottom of Page)"/>
        <w:docPartUnique/>
      </w:docPartObj>
    </w:sdtPr>
    <w:sdtEndPr/>
    <w:sdtContent>
      <w:p w:rsidR="009D4830" w:rsidRDefault="009D483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EAB">
          <w:rPr>
            <w:noProof/>
          </w:rPr>
          <w:t>1</w:t>
        </w:r>
        <w:r>
          <w:fldChar w:fldCharType="end"/>
        </w:r>
      </w:p>
    </w:sdtContent>
  </w:sdt>
  <w:p w:rsidR="009D4830" w:rsidRDefault="009D483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830" w:rsidRDefault="009D4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0C5" w:rsidRDefault="006270C5" w:rsidP="00E9311B">
      <w:pPr>
        <w:spacing w:after="0" w:line="240" w:lineRule="auto"/>
      </w:pPr>
      <w:r>
        <w:separator/>
      </w:r>
    </w:p>
  </w:footnote>
  <w:footnote w:type="continuationSeparator" w:id="0">
    <w:p w:rsidR="006270C5" w:rsidRDefault="006270C5" w:rsidP="00E93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830" w:rsidRDefault="009D483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11B" w:rsidRDefault="00E9311B">
    <w:pPr>
      <w:pStyle w:val="Nagwek"/>
    </w:pPr>
    <w:r>
      <w:rPr>
        <w:noProof/>
        <w:lang w:eastAsia="pl-PL"/>
      </w:rPr>
      <w:drawing>
        <wp:inline distT="0" distB="0" distL="0" distR="0" wp14:anchorId="780885E4" wp14:editId="7A057895">
          <wp:extent cx="5760720" cy="45621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830" w:rsidRDefault="009D483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7DD"/>
    <w:multiLevelType w:val="hybridMultilevel"/>
    <w:tmpl w:val="61C0926A"/>
    <w:lvl w:ilvl="0" w:tplc="71CE8F6E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70C64AE">
      <w:start w:val="1"/>
      <w:numFmt w:val="decimal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DD21CD0">
      <w:start w:val="1"/>
      <w:numFmt w:val="lowerLetter"/>
      <w:lvlText w:val="%3)"/>
      <w:lvlJc w:val="left"/>
      <w:pPr>
        <w:ind w:left="122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CBC26BFA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4" w:tplc="E3A4B3A6">
      <w:numFmt w:val="bullet"/>
      <w:lvlText w:val="•"/>
      <w:lvlJc w:val="left"/>
      <w:pPr>
        <w:ind w:left="3254" w:hanging="360"/>
      </w:pPr>
      <w:rPr>
        <w:rFonts w:hint="default"/>
        <w:lang w:val="pl-PL" w:eastAsia="en-US" w:bidi="ar-SA"/>
      </w:rPr>
    </w:lvl>
    <w:lvl w:ilvl="5" w:tplc="8138C3CE">
      <w:numFmt w:val="bullet"/>
      <w:lvlText w:val="•"/>
      <w:lvlJc w:val="left"/>
      <w:pPr>
        <w:ind w:left="4271" w:hanging="360"/>
      </w:pPr>
      <w:rPr>
        <w:rFonts w:hint="default"/>
        <w:lang w:val="pl-PL" w:eastAsia="en-US" w:bidi="ar-SA"/>
      </w:rPr>
    </w:lvl>
    <w:lvl w:ilvl="6" w:tplc="3EB40208">
      <w:numFmt w:val="bullet"/>
      <w:lvlText w:val="•"/>
      <w:lvlJc w:val="left"/>
      <w:pPr>
        <w:ind w:left="5288" w:hanging="360"/>
      </w:pPr>
      <w:rPr>
        <w:rFonts w:hint="default"/>
        <w:lang w:val="pl-PL" w:eastAsia="en-US" w:bidi="ar-SA"/>
      </w:rPr>
    </w:lvl>
    <w:lvl w:ilvl="7" w:tplc="6BA07146">
      <w:numFmt w:val="bullet"/>
      <w:lvlText w:val="•"/>
      <w:lvlJc w:val="left"/>
      <w:pPr>
        <w:ind w:left="6305" w:hanging="360"/>
      </w:pPr>
      <w:rPr>
        <w:rFonts w:hint="default"/>
        <w:lang w:val="pl-PL" w:eastAsia="en-US" w:bidi="ar-SA"/>
      </w:rPr>
    </w:lvl>
    <w:lvl w:ilvl="8" w:tplc="22C8C884">
      <w:numFmt w:val="bullet"/>
      <w:lvlText w:val="•"/>
      <w:lvlJc w:val="left"/>
      <w:pPr>
        <w:ind w:left="7322" w:hanging="360"/>
      </w:pPr>
      <w:rPr>
        <w:rFonts w:hint="default"/>
        <w:lang w:val="pl-PL" w:eastAsia="en-US" w:bidi="ar-SA"/>
      </w:rPr>
    </w:lvl>
  </w:abstractNum>
  <w:abstractNum w:abstractNumId="1">
    <w:nsid w:val="174B5D77"/>
    <w:multiLevelType w:val="hybridMultilevel"/>
    <w:tmpl w:val="A5CE7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B54E5"/>
    <w:multiLevelType w:val="multilevel"/>
    <w:tmpl w:val="31665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E33611"/>
    <w:multiLevelType w:val="hybridMultilevel"/>
    <w:tmpl w:val="D79CF6C4"/>
    <w:lvl w:ilvl="0" w:tplc="53AAF7E8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24"/>
        <w:szCs w:val="24"/>
        <w:lang w:val="pl-PL" w:eastAsia="en-US" w:bidi="ar-SA"/>
      </w:rPr>
    </w:lvl>
    <w:lvl w:ilvl="1" w:tplc="10F03DF6">
      <w:start w:val="1"/>
      <w:numFmt w:val="decimal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0627D80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03D8BE6A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69AA3A68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236AF118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CEFC1EC2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633ED77A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049A0818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4">
    <w:nsid w:val="20FC1124"/>
    <w:multiLevelType w:val="hybridMultilevel"/>
    <w:tmpl w:val="6BAC2BDA"/>
    <w:lvl w:ilvl="0" w:tplc="BEB6DEE0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4867F1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C9EACDCC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80D863E6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8C400DE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C1209DFA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0172D464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874ABFDC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0F2C595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5">
    <w:nsid w:val="25875E90"/>
    <w:multiLevelType w:val="multilevel"/>
    <w:tmpl w:val="2C007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5824DC"/>
    <w:multiLevelType w:val="hybridMultilevel"/>
    <w:tmpl w:val="8B6C4CE6"/>
    <w:lvl w:ilvl="0" w:tplc="A224D710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9B805D4">
      <w:start w:val="1"/>
      <w:numFmt w:val="decimal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35E4094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D262B524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9866E7BA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51185BB8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117651A6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BF12A660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4870707E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7">
    <w:nsid w:val="2BC72D2F"/>
    <w:multiLevelType w:val="hybridMultilevel"/>
    <w:tmpl w:val="3A0AEA44"/>
    <w:lvl w:ilvl="0" w:tplc="DF3CA42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87C9228">
      <w:start w:val="1"/>
      <w:numFmt w:val="lowerLetter"/>
      <w:lvlText w:val="%2)"/>
      <w:lvlJc w:val="left"/>
      <w:pPr>
        <w:ind w:left="743" w:hanging="24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EB6D932">
      <w:numFmt w:val="bullet"/>
      <w:lvlText w:val="•"/>
      <w:lvlJc w:val="left"/>
      <w:pPr>
        <w:ind w:left="1697" w:hanging="242"/>
      </w:pPr>
      <w:rPr>
        <w:rFonts w:hint="default"/>
        <w:lang w:val="pl-PL" w:eastAsia="en-US" w:bidi="ar-SA"/>
      </w:rPr>
    </w:lvl>
    <w:lvl w:ilvl="3" w:tplc="1124CEDA">
      <w:numFmt w:val="bullet"/>
      <w:lvlText w:val="•"/>
      <w:lvlJc w:val="left"/>
      <w:pPr>
        <w:ind w:left="2654" w:hanging="242"/>
      </w:pPr>
      <w:rPr>
        <w:rFonts w:hint="default"/>
        <w:lang w:val="pl-PL" w:eastAsia="en-US" w:bidi="ar-SA"/>
      </w:rPr>
    </w:lvl>
    <w:lvl w:ilvl="4" w:tplc="005E703C">
      <w:numFmt w:val="bullet"/>
      <w:lvlText w:val="•"/>
      <w:lvlJc w:val="left"/>
      <w:pPr>
        <w:ind w:left="3612" w:hanging="242"/>
      </w:pPr>
      <w:rPr>
        <w:rFonts w:hint="default"/>
        <w:lang w:val="pl-PL" w:eastAsia="en-US" w:bidi="ar-SA"/>
      </w:rPr>
    </w:lvl>
    <w:lvl w:ilvl="5" w:tplc="192634F2">
      <w:numFmt w:val="bullet"/>
      <w:lvlText w:val="•"/>
      <w:lvlJc w:val="left"/>
      <w:pPr>
        <w:ind w:left="4569" w:hanging="242"/>
      </w:pPr>
      <w:rPr>
        <w:rFonts w:hint="default"/>
        <w:lang w:val="pl-PL" w:eastAsia="en-US" w:bidi="ar-SA"/>
      </w:rPr>
    </w:lvl>
    <w:lvl w:ilvl="6" w:tplc="A300DFE8">
      <w:numFmt w:val="bullet"/>
      <w:lvlText w:val="•"/>
      <w:lvlJc w:val="left"/>
      <w:pPr>
        <w:ind w:left="5526" w:hanging="242"/>
      </w:pPr>
      <w:rPr>
        <w:rFonts w:hint="default"/>
        <w:lang w:val="pl-PL" w:eastAsia="en-US" w:bidi="ar-SA"/>
      </w:rPr>
    </w:lvl>
    <w:lvl w:ilvl="7" w:tplc="530A2472">
      <w:numFmt w:val="bullet"/>
      <w:lvlText w:val="•"/>
      <w:lvlJc w:val="left"/>
      <w:pPr>
        <w:ind w:left="6484" w:hanging="242"/>
      </w:pPr>
      <w:rPr>
        <w:rFonts w:hint="default"/>
        <w:lang w:val="pl-PL" w:eastAsia="en-US" w:bidi="ar-SA"/>
      </w:rPr>
    </w:lvl>
    <w:lvl w:ilvl="8" w:tplc="8AA0B0BC">
      <w:numFmt w:val="bullet"/>
      <w:lvlText w:val="•"/>
      <w:lvlJc w:val="left"/>
      <w:pPr>
        <w:ind w:left="7441" w:hanging="242"/>
      </w:pPr>
      <w:rPr>
        <w:rFonts w:hint="default"/>
        <w:lang w:val="pl-PL" w:eastAsia="en-US" w:bidi="ar-SA"/>
      </w:rPr>
    </w:lvl>
  </w:abstractNum>
  <w:abstractNum w:abstractNumId="8">
    <w:nsid w:val="356B077F"/>
    <w:multiLevelType w:val="multilevel"/>
    <w:tmpl w:val="75560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0C4CBF"/>
    <w:multiLevelType w:val="multilevel"/>
    <w:tmpl w:val="8D2C5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5535D1"/>
    <w:multiLevelType w:val="multilevel"/>
    <w:tmpl w:val="C240C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4028E0"/>
    <w:multiLevelType w:val="hybridMultilevel"/>
    <w:tmpl w:val="94A60AB6"/>
    <w:lvl w:ilvl="0" w:tplc="38CC4B3E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74E6E98">
      <w:start w:val="1"/>
      <w:numFmt w:val="decimal"/>
      <w:lvlText w:val="%2)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98E49CE">
      <w:numFmt w:val="bullet"/>
      <w:lvlText w:val="•"/>
      <w:lvlJc w:val="left"/>
      <w:pPr>
        <w:ind w:left="1804" w:hanging="360"/>
      </w:pPr>
      <w:rPr>
        <w:rFonts w:hint="default"/>
        <w:lang w:val="pl-PL" w:eastAsia="en-US" w:bidi="ar-SA"/>
      </w:rPr>
    </w:lvl>
    <w:lvl w:ilvl="3" w:tplc="B83A25B0">
      <w:numFmt w:val="bullet"/>
      <w:lvlText w:val="•"/>
      <w:lvlJc w:val="left"/>
      <w:pPr>
        <w:ind w:left="2748" w:hanging="360"/>
      </w:pPr>
      <w:rPr>
        <w:rFonts w:hint="default"/>
        <w:lang w:val="pl-PL" w:eastAsia="en-US" w:bidi="ar-SA"/>
      </w:rPr>
    </w:lvl>
    <w:lvl w:ilvl="4" w:tplc="23A4C0A6">
      <w:numFmt w:val="bullet"/>
      <w:lvlText w:val="•"/>
      <w:lvlJc w:val="left"/>
      <w:pPr>
        <w:ind w:left="3692" w:hanging="360"/>
      </w:pPr>
      <w:rPr>
        <w:rFonts w:hint="default"/>
        <w:lang w:val="pl-PL" w:eastAsia="en-US" w:bidi="ar-SA"/>
      </w:rPr>
    </w:lvl>
    <w:lvl w:ilvl="5" w:tplc="1428BD9A">
      <w:numFmt w:val="bullet"/>
      <w:lvlText w:val="•"/>
      <w:lvlJc w:val="left"/>
      <w:pPr>
        <w:ind w:left="4636" w:hanging="360"/>
      </w:pPr>
      <w:rPr>
        <w:rFonts w:hint="default"/>
        <w:lang w:val="pl-PL" w:eastAsia="en-US" w:bidi="ar-SA"/>
      </w:rPr>
    </w:lvl>
    <w:lvl w:ilvl="6" w:tplc="432A064E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7" w:tplc="3A96000E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97B0C0F0">
      <w:numFmt w:val="bullet"/>
      <w:lvlText w:val="•"/>
      <w:lvlJc w:val="left"/>
      <w:pPr>
        <w:ind w:left="7468" w:hanging="360"/>
      </w:pPr>
      <w:rPr>
        <w:rFonts w:hint="default"/>
        <w:lang w:val="pl-PL" w:eastAsia="en-US" w:bidi="ar-SA"/>
      </w:rPr>
    </w:lvl>
  </w:abstractNum>
  <w:abstractNum w:abstractNumId="12">
    <w:nsid w:val="3CDA3A6E"/>
    <w:multiLevelType w:val="multilevel"/>
    <w:tmpl w:val="79507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B62881"/>
    <w:multiLevelType w:val="multilevel"/>
    <w:tmpl w:val="20ACB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472510"/>
    <w:multiLevelType w:val="multilevel"/>
    <w:tmpl w:val="15302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17735B"/>
    <w:multiLevelType w:val="multilevel"/>
    <w:tmpl w:val="60807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0F69C0"/>
    <w:multiLevelType w:val="hybridMultilevel"/>
    <w:tmpl w:val="7F44D548"/>
    <w:lvl w:ilvl="0" w:tplc="E214A59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6A44B2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0A7820CE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EE8E6FCE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965E2E7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C444F68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DD8CD116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6B084E6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13260AC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7">
    <w:nsid w:val="573E22AE"/>
    <w:multiLevelType w:val="multilevel"/>
    <w:tmpl w:val="6DFCC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DE58BC"/>
    <w:multiLevelType w:val="hybridMultilevel"/>
    <w:tmpl w:val="C24A3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96345D"/>
    <w:multiLevelType w:val="hybridMultilevel"/>
    <w:tmpl w:val="6B68C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554EF"/>
    <w:multiLevelType w:val="hybridMultilevel"/>
    <w:tmpl w:val="182A5970"/>
    <w:lvl w:ilvl="0" w:tplc="6EF2C1B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31C672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3D8C6F0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5FCA582C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C1ED836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0722ECCC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0442D47E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82B621E6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01461BB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1">
    <w:nsid w:val="5DD86565"/>
    <w:multiLevelType w:val="multilevel"/>
    <w:tmpl w:val="3EB6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820C29"/>
    <w:multiLevelType w:val="multilevel"/>
    <w:tmpl w:val="422E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E24982"/>
    <w:multiLevelType w:val="hybridMultilevel"/>
    <w:tmpl w:val="86667588"/>
    <w:lvl w:ilvl="0" w:tplc="56D8096A">
      <w:start w:val="1"/>
      <w:numFmt w:val="decimal"/>
      <w:lvlText w:val="%1."/>
      <w:lvlJc w:val="left"/>
      <w:pPr>
        <w:ind w:left="5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39AEE7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57DC020E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0B3650AC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28ACB82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6D165198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C54C95F2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0CF2E288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1C42960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>
    <w:abstractNumId w:val="9"/>
  </w:num>
  <w:num w:numId="2">
    <w:abstractNumId w:val="12"/>
  </w:num>
  <w:num w:numId="3">
    <w:abstractNumId w:val="17"/>
  </w:num>
  <w:num w:numId="4">
    <w:abstractNumId w:val="13"/>
  </w:num>
  <w:num w:numId="5">
    <w:abstractNumId w:val="2"/>
  </w:num>
  <w:num w:numId="6">
    <w:abstractNumId w:val="5"/>
  </w:num>
  <w:num w:numId="7">
    <w:abstractNumId w:val="14"/>
  </w:num>
  <w:num w:numId="8">
    <w:abstractNumId w:val="15"/>
  </w:num>
  <w:num w:numId="9">
    <w:abstractNumId w:val="23"/>
  </w:num>
  <w:num w:numId="10">
    <w:abstractNumId w:val="7"/>
  </w:num>
  <w:num w:numId="11">
    <w:abstractNumId w:val="16"/>
  </w:num>
  <w:num w:numId="12">
    <w:abstractNumId w:val="6"/>
  </w:num>
  <w:num w:numId="13">
    <w:abstractNumId w:val="4"/>
  </w:num>
  <w:num w:numId="14">
    <w:abstractNumId w:val="11"/>
  </w:num>
  <w:num w:numId="15">
    <w:abstractNumId w:val="20"/>
  </w:num>
  <w:num w:numId="16">
    <w:abstractNumId w:val="0"/>
  </w:num>
  <w:num w:numId="17">
    <w:abstractNumId w:val="3"/>
  </w:num>
  <w:num w:numId="18">
    <w:abstractNumId w:val="19"/>
  </w:num>
  <w:num w:numId="19">
    <w:abstractNumId w:val="18"/>
  </w:num>
  <w:num w:numId="20">
    <w:abstractNumId w:val="1"/>
  </w:num>
  <w:num w:numId="21">
    <w:abstractNumId w:val="8"/>
  </w:num>
  <w:num w:numId="22">
    <w:abstractNumId w:val="22"/>
  </w:num>
  <w:num w:numId="23">
    <w:abstractNumId w:val="2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6BD"/>
    <w:rsid w:val="00015583"/>
    <w:rsid w:val="000B2F9C"/>
    <w:rsid w:val="0014619A"/>
    <w:rsid w:val="00146E89"/>
    <w:rsid w:val="001B3B3D"/>
    <w:rsid w:val="00267D59"/>
    <w:rsid w:val="00290F6E"/>
    <w:rsid w:val="002A0D92"/>
    <w:rsid w:val="002D31F7"/>
    <w:rsid w:val="002D713F"/>
    <w:rsid w:val="003038C3"/>
    <w:rsid w:val="003146C6"/>
    <w:rsid w:val="003242AB"/>
    <w:rsid w:val="003A63CD"/>
    <w:rsid w:val="004E3345"/>
    <w:rsid w:val="004F4BAE"/>
    <w:rsid w:val="00586D26"/>
    <w:rsid w:val="005B6D79"/>
    <w:rsid w:val="005D2E79"/>
    <w:rsid w:val="006270C5"/>
    <w:rsid w:val="00642C5F"/>
    <w:rsid w:val="00660669"/>
    <w:rsid w:val="00696D7A"/>
    <w:rsid w:val="00697929"/>
    <w:rsid w:val="006C3418"/>
    <w:rsid w:val="007530AB"/>
    <w:rsid w:val="00844253"/>
    <w:rsid w:val="008A6F1B"/>
    <w:rsid w:val="008A713B"/>
    <w:rsid w:val="008B071C"/>
    <w:rsid w:val="008C3C8D"/>
    <w:rsid w:val="008D5930"/>
    <w:rsid w:val="008D725C"/>
    <w:rsid w:val="008F5212"/>
    <w:rsid w:val="00972CA9"/>
    <w:rsid w:val="009A616D"/>
    <w:rsid w:val="009A67A4"/>
    <w:rsid w:val="009D4830"/>
    <w:rsid w:val="009E19C1"/>
    <w:rsid w:val="00A02FA9"/>
    <w:rsid w:val="00A3771C"/>
    <w:rsid w:val="00A96CBC"/>
    <w:rsid w:val="00AA579D"/>
    <w:rsid w:val="00AC6E12"/>
    <w:rsid w:val="00BA2984"/>
    <w:rsid w:val="00C8001D"/>
    <w:rsid w:val="00C9746A"/>
    <w:rsid w:val="00CF3510"/>
    <w:rsid w:val="00D0166D"/>
    <w:rsid w:val="00D55E0C"/>
    <w:rsid w:val="00DA05A2"/>
    <w:rsid w:val="00DC2A64"/>
    <w:rsid w:val="00DC6617"/>
    <w:rsid w:val="00E73F36"/>
    <w:rsid w:val="00E9311B"/>
    <w:rsid w:val="00F06CE0"/>
    <w:rsid w:val="00F55EAB"/>
    <w:rsid w:val="00F76A6B"/>
    <w:rsid w:val="00F926BD"/>
    <w:rsid w:val="00FD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9E19C1"/>
    <w:pPr>
      <w:widowControl w:val="0"/>
      <w:autoSpaceDE w:val="0"/>
      <w:autoSpaceDN w:val="0"/>
      <w:spacing w:after="0" w:line="240" w:lineRule="auto"/>
      <w:ind w:left="2709" w:right="2710"/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311B"/>
  </w:style>
  <w:style w:type="paragraph" w:styleId="Stopka">
    <w:name w:val="footer"/>
    <w:basedOn w:val="Normalny"/>
    <w:link w:val="Stopka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11B"/>
  </w:style>
  <w:style w:type="paragraph" w:styleId="Tekstdymka">
    <w:name w:val="Balloon Text"/>
    <w:basedOn w:val="Normalny"/>
    <w:link w:val="TekstdymkaZnak"/>
    <w:uiPriority w:val="99"/>
    <w:semiHidden/>
    <w:unhideWhenUsed/>
    <w:rsid w:val="00E93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311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E19C1"/>
    <w:rPr>
      <w:rFonts w:ascii="Calibri" w:eastAsia="Calibri" w:hAnsi="Calibri" w:cs="Calibr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E19C1"/>
    <w:rPr>
      <w:rFonts w:ascii="Calibri" w:eastAsia="Calibri" w:hAnsi="Calibri" w:cs="Calibri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 w:hanging="360"/>
      <w:jc w:val="both"/>
    </w:pPr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semiHidden/>
    <w:unhideWhenUsed/>
    <w:rsid w:val="004F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9E19C1"/>
    <w:pPr>
      <w:widowControl w:val="0"/>
      <w:autoSpaceDE w:val="0"/>
      <w:autoSpaceDN w:val="0"/>
      <w:spacing w:after="0" w:line="240" w:lineRule="auto"/>
      <w:ind w:left="2709" w:right="2710"/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311B"/>
  </w:style>
  <w:style w:type="paragraph" w:styleId="Stopka">
    <w:name w:val="footer"/>
    <w:basedOn w:val="Normalny"/>
    <w:link w:val="StopkaZnak"/>
    <w:uiPriority w:val="99"/>
    <w:unhideWhenUsed/>
    <w:rsid w:val="00E93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311B"/>
  </w:style>
  <w:style w:type="paragraph" w:styleId="Tekstdymka">
    <w:name w:val="Balloon Text"/>
    <w:basedOn w:val="Normalny"/>
    <w:link w:val="TekstdymkaZnak"/>
    <w:uiPriority w:val="99"/>
    <w:semiHidden/>
    <w:unhideWhenUsed/>
    <w:rsid w:val="00E93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311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E19C1"/>
    <w:rPr>
      <w:rFonts w:ascii="Calibri" w:eastAsia="Calibri" w:hAnsi="Calibri" w:cs="Calibr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E19C1"/>
    <w:rPr>
      <w:rFonts w:ascii="Calibri" w:eastAsia="Calibri" w:hAnsi="Calibri" w:cs="Calibri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9C1"/>
    <w:pPr>
      <w:widowControl w:val="0"/>
      <w:autoSpaceDE w:val="0"/>
      <w:autoSpaceDN w:val="0"/>
      <w:spacing w:after="0" w:line="240" w:lineRule="auto"/>
      <w:ind w:left="501" w:hanging="360"/>
      <w:jc w:val="both"/>
    </w:pPr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semiHidden/>
    <w:unhideWhenUsed/>
    <w:rsid w:val="004F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704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Kolanoś</dc:creator>
  <cp:keywords/>
  <dc:description/>
  <cp:lastModifiedBy>Jolanta Kolanoś</cp:lastModifiedBy>
  <cp:revision>37</cp:revision>
  <cp:lastPrinted>2026-04-14T12:30:00Z</cp:lastPrinted>
  <dcterms:created xsi:type="dcterms:W3CDTF">2026-03-20T08:56:00Z</dcterms:created>
  <dcterms:modified xsi:type="dcterms:W3CDTF">2026-04-14T12:31:00Z</dcterms:modified>
</cp:coreProperties>
</file>